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9520DB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Wwft</w:t>
      </w:r>
      <w:proofErr w:type="spellEnd"/>
      <w:r>
        <w:rPr>
          <w:b/>
          <w:color w:val="000000"/>
          <w:sz w:val="28"/>
        </w:rPr>
        <w:t xml:space="preserve"> in de praktijk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7452B0" w:rsidP="007452B0">
      <w:pPr>
        <w:rPr>
          <w:b/>
        </w:rPr>
      </w:pPr>
      <w:r w:rsidRPr="007452B0">
        <w:rPr>
          <w:b/>
        </w:rPr>
        <w:t xml:space="preserve">Administratie- en belastingdeskundigen dienen te voldoen </w:t>
      </w:r>
      <w:r w:rsidR="009176FD">
        <w:rPr>
          <w:b/>
        </w:rPr>
        <w:t>aan het gestelde in de Wet ter v</w:t>
      </w:r>
      <w:r w:rsidRPr="007452B0">
        <w:rPr>
          <w:b/>
        </w:rPr>
        <w:t>oorkoming van witwassen en financieren van terrorisme (</w:t>
      </w:r>
      <w:proofErr w:type="spellStart"/>
      <w:r w:rsidRPr="007452B0">
        <w:rPr>
          <w:b/>
        </w:rPr>
        <w:t>Wwft</w:t>
      </w:r>
      <w:proofErr w:type="spellEnd"/>
      <w:r w:rsidRPr="007452B0">
        <w:rPr>
          <w:b/>
        </w:rPr>
        <w:t xml:space="preserve">). De verplichtingen uit hoofde van deze wet, zoals het cliëntenonderzoek en het melden van ongebruikelijke transacties, geven richting aan goede en integere dienstverlening. Met de inwerkingtreding van de 4e anti-witwasrichtlijn in juni 2017 en als gevolg daarvan sterke wijziging van de </w:t>
      </w:r>
      <w:proofErr w:type="spellStart"/>
      <w:r w:rsidRPr="007452B0">
        <w:rPr>
          <w:b/>
        </w:rPr>
        <w:t>Wwft</w:t>
      </w:r>
      <w:proofErr w:type="spellEnd"/>
      <w:r w:rsidRPr="007452B0">
        <w:rPr>
          <w:b/>
        </w:rPr>
        <w:t xml:space="preserve"> in juli 2018,  is het aantal verplichtingen en de omvang daarvan sterk</w:t>
      </w:r>
      <w:r>
        <w:rPr>
          <w:b/>
        </w:rPr>
        <w:t xml:space="preserve"> toegenomen.</w:t>
      </w:r>
    </w:p>
    <w:p w:rsidR="00082409" w:rsidRDefault="007452B0" w:rsidP="007452B0">
      <w:r w:rsidRPr="007452B0">
        <w:t xml:space="preserve">De </w:t>
      </w:r>
      <w:proofErr w:type="spellStart"/>
      <w:r w:rsidRPr="007452B0">
        <w:t>Wwft</w:t>
      </w:r>
      <w:proofErr w:type="spellEnd"/>
      <w:r w:rsidRPr="007452B0">
        <w:t xml:space="preserve"> kent vergaande consequenties voor NOAB</w:t>
      </w:r>
      <w:r w:rsidR="00570B03">
        <w:t>-</w:t>
      </w:r>
      <w:r w:rsidRPr="007452B0">
        <w:t xml:space="preserve">kantoren met betrekking tot o.a. het cliëntenonderzoek, </w:t>
      </w:r>
      <w:r w:rsidR="00570B03" w:rsidRPr="007452B0">
        <w:t>risicoanalyses</w:t>
      </w:r>
      <w:r w:rsidRPr="007452B0">
        <w:t xml:space="preserve"> en de meldplicht. Bovendien kent de </w:t>
      </w:r>
      <w:proofErr w:type="spellStart"/>
      <w:r w:rsidRPr="007452B0">
        <w:t>Wwft</w:t>
      </w:r>
      <w:proofErr w:type="spellEnd"/>
      <w:r w:rsidRPr="007452B0">
        <w:t xml:space="preserve"> een opleidingsverpl</w:t>
      </w:r>
      <w:r w:rsidR="009176FD">
        <w:t xml:space="preserve">ichting om kennis over de </w:t>
      </w:r>
      <w:proofErr w:type="spellStart"/>
      <w:r w:rsidR="009176FD">
        <w:t>Wwft</w:t>
      </w:r>
      <w:proofErr w:type="spellEnd"/>
      <w:r w:rsidR="009176FD">
        <w:t xml:space="preserve"> </w:t>
      </w:r>
      <w:r w:rsidRPr="007452B0">
        <w:t xml:space="preserve">en risico’s met betrekking tot witwassen en financieren van terrorisme actueel te houden. </w:t>
      </w:r>
    </w:p>
    <w:p w:rsidR="007452B0" w:rsidRPr="007452B0" w:rsidRDefault="007452B0" w:rsidP="007452B0">
      <w:r w:rsidRPr="007452B0">
        <w:t>Tijdens deze educatiebijeenkomst wordt u aan de hand van casuïstiek en wet- en regelgeving bijgepraat over de actuele verplichtingen en de toekomstige ontwikke</w:t>
      </w:r>
      <w:r w:rsidR="009176FD">
        <w:t>lingen, de trends in handhaving</w:t>
      </w:r>
      <w:r w:rsidRPr="007452B0">
        <w:t xml:space="preserve"> en worden u handvatten aangereikt voor de implementatie van de regelgeving in de praktijk. Tijdens de bijeenkomst is voldoende ruimte voor vragen en discussie.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082409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>uitleg van de wet en de wijzigingen</w:t>
      </w:r>
    </w:p>
    <w:p w:rsidR="00082409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 xml:space="preserve">uitleg over het begrip </w:t>
      </w:r>
      <w:r w:rsidR="00981AF4" w:rsidRPr="009176FD">
        <w:rPr>
          <w:rFonts w:cs="TimesNewRomanPSMT"/>
        </w:rPr>
        <w:t>witwassen, terrorisme</w:t>
      </w:r>
      <w:r w:rsidRPr="009176FD">
        <w:rPr>
          <w:rFonts w:cs="TimesNewRomanPSMT"/>
        </w:rPr>
        <w:t>financiering en typologieën</w:t>
      </w:r>
    </w:p>
    <w:p w:rsidR="00082409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>uitvoering van het cliëntenonderzoek en vastlegging daarvan</w:t>
      </w:r>
    </w:p>
    <w:p w:rsidR="00082409" w:rsidRPr="009176FD" w:rsidRDefault="00BF09F1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 xml:space="preserve">risico-inventarisatie en </w:t>
      </w:r>
      <w:r w:rsidR="0067643D">
        <w:rPr>
          <w:rFonts w:cs="TimesNewRomanPSMT"/>
        </w:rPr>
        <w:t>-</w:t>
      </w:r>
      <w:r w:rsidR="00082409" w:rsidRPr="009176FD">
        <w:rPr>
          <w:rFonts w:cs="TimesNewRomanPSMT"/>
        </w:rPr>
        <w:t>profilering</w:t>
      </w:r>
    </w:p>
    <w:p w:rsidR="00082409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>indicatoren voor ongebruikelijke transacties</w:t>
      </w:r>
    </w:p>
    <w:p w:rsidR="00082409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>het melden van ongebruikelijke transacties</w:t>
      </w:r>
    </w:p>
    <w:p w:rsidR="00F42A1F" w:rsidRPr="009176FD" w:rsidRDefault="00082409" w:rsidP="009176F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176FD">
        <w:rPr>
          <w:rFonts w:cs="TimesNewRomanPSMT"/>
        </w:rPr>
        <w:t>toezicht en handhaving</w:t>
      </w:r>
    </w:p>
    <w:p w:rsidR="00F42A1F" w:rsidRDefault="00F42A1F" w:rsidP="009176FD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imesNewRomanPSMT"/>
        </w:rPr>
      </w:pPr>
    </w:p>
    <w:p w:rsidR="00BC2838" w:rsidRPr="00BC2838" w:rsidRDefault="00BC2838" w:rsidP="00BC283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2838">
        <w:rPr>
          <w:rFonts w:cs="TimesNewRomanPSMT"/>
        </w:rPr>
        <w:t>Tijdens deze educatiebijeenkomst wordt u aan de hand van casuïstiek en wet- en regelgeving bijgepraat over de actuele verplichtingen en de toekomstige ontwikkelingen, de trends in handhaving, en worden u handvatten aangereikt voor de implementatie van de regelgeving in de praktijk. Tijdens de bijeenkomst is voldoende ruimte voor vragen en discussie.</w:t>
      </w:r>
    </w:p>
    <w:p w:rsidR="00BC2838" w:rsidRDefault="00BC2838" w:rsidP="00082409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</w:rPr>
      </w:pPr>
    </w:p>
    <w:p w:rsidR="00C04AA7" w:rsidRDefault="00C04AA7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:rsidR="00C04AA7" w:rsidRPr="00C04AA7" w:rsidRDefault="00AE58B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 xml:space="preserve">13:00 - </w:t>
      </w:r>
      <w:bookmarkStart w:id="0" w:name="_GoBack"/>
      <w:bookmarkEnd w:id="0"/>
      <w:r w:rsidR="00C04AA7" w:rsidRPr="00C04AA7">
        <w:rPr>
          <w:rFonts w:cs="Futura-CondensedExtraBold"/>
          <w:bCs/>
        </w:rPr>
        <w:t>16:00</w:t>
      </w:r>
    </w:p>
    <w:p w:rsidR="00C04AA7" w:rsidRDefault="00C04AA7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04AA7" w:rsidRPr="00C04AA7" w:rsidRDefault="00C04AA7" w:rsidP="00C04AA7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C04AA7">
        <w:rPr>
          <w:rFonts w:cs="Futura-CondensedExtraBold"/>
          <w:b/>
          <w:bCs/>
        </w:rPr>
        <w:t>Kosten</w:t>
      </w:r>
    </w:p>
    <w:p w:rsidR="00C04AA7" w:rsidRPr="00C04AA7" w:rsidRDefault="00C04AA7" w:rsidP="00C04AA7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C04AA7">
        <w:rPr>
          <w:rFonts w:cs="Futura-CondensedExtraBold"/>
          <w:bCs/>
        </w:rPr>
        <w:t>NOAB-leden: € 124,00 excl. btw.</w:t>
      </w:r>
    </w:p>
    <w:p w:rsidR="00C04AA7" w:rsidRPr="00C04AA7" w:rsidRDefault="00C04AA7" w:rsidP="00C04AA7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C04AA7">
        <w:rPr>
          <w:rFonts w:cs="Futura-CondensedExtraBold"/>
          <w:bCs/>
        </w:rPr>
        <w:t xml:space="preserve">Niet-leden: € 155,00 </w:t>
      </w:r>
      <w:proofErr w:type="spellStart"/>
      <w:r w:rsidRPr="00C04AA7">
        <w:rPr>
          <w:rFonts w:cs="Futura-CondensedExtraBold"/>
          <w:bCs/>
        </w:rPr>
        <w:t>ecl</w:t>
      </w:r>
      <w:proofErr w:type="spellEnd"/>
      <w:r w:rsidRPr="00C04AA7">
        <w:rPr>
          <w:rFonts w:cs="Futura-CondensedExtraBold"/>
          <w:bCs/>
        </w:rPr>
        <w:t>. Btw</w:t>
      </w:r>
      <w:r w:rsidRPr="00C04AA7">
        <w:rPr>
          <w:rFonts w:cs="Futura-CondensedExtraBold"/>
          <w:b/>
          <w:bCs/>
        </w:rPr>
        <w:t>.</w:t>
      </w:r>
    </w:p>
    <w:p w:rsidR="00C04AA7" w:rsidRPr="00C04AA7" w:rsidRDefault="00C04AA7" w:rsidP="00C04AA7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  <w:r w:rsidR="00B66762" w:rsidRPr="004C6056">
        <w:rPr>
          <w:rFonts w:cs="Futura-CondensedExtraBold"/>
          <w:b/>
          <w:bCs/>
        </w:rPr>
        <w:t>en</w:t>
      </w:r>
    </w:p>
    <w:p w:rsidR="00C85304" w:rsidRPr="004C6056" w:rsidRDefault="00450B37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50B37">
        <w:rPr>
          <w:rFonts w:cs="TimesNewRomanPSMT"/>
        </w:rPr>
        <w:t xml:space="preserve">mr. </w:t>
      </w:r>
      <w:proofErr w:type="spellStart"/>
      <w:r w:rsidRPr="00450B37">
        <w:rPr>
          <w:rFonts w:cs="TimesNewRomanPSMT"/>
        </w:rPr>
        <w:t>Jurjan</w:t>
      </w:r>
      <w:proofErr w:type="spellEnd"/>
      <w:r w:rsidRPr="00450B37">
        <w:rPr>
          <w:rFonts w:cs="TimesNewRomanPSMT"/>
        </w:rPr>
        <w:t xml:space="preserve"> Geertsma is advocaat en partner bij </w:t>
      </w:r>
      <w:proofErr w:type="spellStart"/>
      <w:r w:rsidRPr="00450B37">
        <w:rPr>
          <w:rFonts w:cs="TimesNewRomanPSMT"/>
        </w:rPr>
        <w:t>JahaeRaymakers</w:t>
      </w:r>
      <w:proofErr w:type="spellEnd"/>
      <w:r w:rsidRPr="00450B37">
        <w:rPr>
          <w:rFonts w:cs="TimesNewRomanPSMT"/>
        </w:rPr>
        <w:t>. Zijn specialisatie is tucht- en sanctierecht, reputatievraagstukken en (anti-witwas) compliance.</w:t>
      </w:r>
    </w:p>
    <w:p w:rsidR="00C85304" w:rsidRPr="004C6056" w:rsidRDefault="00450B37" w:rsidP="00450B3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ab/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450B37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50B37">
        <w:rPr>
          <w:rFonts w:cs="TimesNewRomanPSMT"/>
        </w:rPr>
        <w:t>NOAB</w:t>
      </w:r>
      <w:r w:rsidR="00450B37" w:rsidRPr="00450B37">
        <w:rPr>
          <w:rFonts w:cs="TimesNewRomanPSMT"/>
        </w:rPr>
        <w:t xml:space="preserve"> 3</w:t>
      </w:r>
      <w:r w:rsidRPr="00450B37">
        <w:rPr>
          <w:rFonts w:cs="TimesNewRomanPSMT"/>
        </w:rPr>
        <w:t xml:space="preserve"> </w:t>
      </w:r>
    </w:p>
    <w:p w:rsidR="0045402E" w:rsidRPr="00E71D4B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71D4B">
        <w:rPr>
          <w:rFonts w:cs="TimesNewRomanPSMT"/>
        </w:rPr>
        <w:t>RB</w:t>
      </w:r>
    </w:p>
    <w:p w:rsidR="00256694" w:rsidRPr="00E71D4B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71D4B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71D4B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26CC6"/>
    <w:multiLevelType w:val="hybridMultilevel"/>
    <w:tmpl w:val="4524FE62"/>
    <w:lvl w:ilvl="0" w:tplc="AD60CCA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2409"/>
    <w:rsid w:val="000871E5"/>
    <w:rsid w:val="000E3698"/>
    <w:rsid w:val="00160CE9"/>
    <w:rsid w:val="002233C2"/>
    <w:rsid w:val="00256694"/>
    <w:rsid w:val="002948AB"/>
    <w:rsid w:val="002B02BE"/>
    <w:rsid w:val="002B5A26"/>
    <w:rsid w:val="002E61AE"/>
    <w:rsid w:val="00307236"/>
    <w:rsid w:val="00316C3B"/>
    <w:rsid w:val="003C7775"/>
    <w:rsid w:val="003E6619"/>
    <w:rsid w:val="00434590"/>
    <w:rsid w:val="004471BE"/>
    <w:rsid w:val="00450B37"/>
    <w:rsid w:val="0045402E"/>
    <w:rsid w:val="004B5463"/>
    <w:rsid w:val="004C6056"/>
    <w:rsid w:val="00570B03"/>
    <w:rsid w:val="005743FA"/>
    <w:rsid w:val="0067643D"/>
    <w:rsid w:val="00682230"/>
    <w:rsid w:val="0068757D"/>
    <w:rsid w:val="006B0F64"/>
    <w:rsid w:val="007405F3"/>
    <w:rsid w:val="007452B0"/>
    <w:rsid w:val="0077223B"/>
    <w:rsid w:val="00783FD0"/>
    <w:rsid w:val="007D6370"/>
    <w:rsid w:val="00800891"/>
    <w:rsid w:val="008A3450"/>
    <w:rsid w:val="008B5BBA"/>
    <w:rsid w:val="0090123C"/>
    <w:rsid w:val="00916FAE"/>
    <w:rsid w:val="009176FD"/>
    <w:rsid w:val="0091784F"/>
    <w:rsid w:val="009520DB"/>
    <w:rsid w:val="00981AF4"/>
    <w:rsid w:val="00A8693D"/>
    <w:rsid w:val="00AC1E2E"/>
    <w:rsid w:val="00AE58B0"/>
    <w:rsid w:val="00B116CB"/>
    <w:rsid w:val="00B66762"/>
    <w:rsid w:val="00BC2838"/>
    <w:rsid w:val="00BF09F1"/>
    <w:rsid w:val="00BF704F"/>
    <w:rsid w:val="00C04AA7"/>
    <w:rsid w:val="00C20035"/>
    <w:rsid w:val="00C85304"/>
    <w:rsid w:val="00CA12FF"/>
    <w:rsid w:val="00D022DC"/>
    <w:rsid w:val="00D43836"/>
    <w:rsid w:val="00DB416D"/>
    <w:rsid w:val="00DF7C93"/>
    <w:rsid w:val="00E71D4B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A0C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432C4-05F0-4C65-B2E3-9EAC95CF3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D1BA8-DE28-45BC-8D8B-07B6B383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7</cp:revision>
  <dcterms:created xsi:type="dcterms:W3CDTF">2019-03-28T12:19:00Z</dcterms:created>
  <dcterms:modified xsi:type="dcterms:W3CDTF">2019-04-05T09:51:00Z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